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6F31B" w14:textId="46C9753A" w:rsidR="00115EEB" w:rsidRPr="00C14719" w:rsidRDefault="00AA0A78" w:rsidP="009D4356">
      <w:pPr>
        <w:pStyle w:val="Heading1"/>
      </w:pPr>
      <w:r w:rsidRPr="00FD6901">
        <w:rPr>
          <w:noProof/>
          <w:vertAlign w:val="subscript"/>
        </w:rPr>
        <w:drawing>
          <wp:inline distT="0" distB="0" distL="0" distR="0" wp14:anchorId="4A479B7A" wp14:editId="2C03200D">
            <wp:extent cx="1674831" cy="554066"/>
            <wp:effectExtent l="0" t="0" r="1905" b="508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439" t="18577" r="11526" b="30307"/>
                    <a:stretch/>
                  </pic:blipFill>
                  <pic:spPr bwMode="auto">
                    <a:xfrm>
                      <a:off x="0" y="0"/>
                      <a:ext cx="1678336" cy="555226"/>
                    </a:xfrm>
                    <a:prstGeom prst="rect">
                      <a:avLst/>
                    </a:prstGeom>
                    <a:noFill/>
                    <a:ln>
                      <a:noFill/>
                    </a:ln>
                    <a:extLst>
                      <a:ext uri="{53640926-AAD7-44D8-BBD7-CCE9431645EC}">
                        <a14:shadowObscured xmlns:a14="http://schemas.microsoft.com/office/drawing/2010/main"/>
                      </a:ext>
                    </a:extLst>
                  </pic:spPr>
                </pic:pic>
              </a:graphicData>
            </a:graphic>
          </wp:inline>
        </w:drawing>
      </w:r>
    </w:p>
    <w:p w14:paraId="50BF428F" w14:textId="77777777" w:rsidR="00115EEB" w:rsidRPr="00115EEB" w:rsidRDefault="00115EEB" w:rsidP="00C14719">
      <w:pPr>
        <w:pStyle w:val="Body"/>
      </w:pPr>
    </w:p>
    <w:p w14:paraId="110CFAF3" w14:textId="5887E0A9" w:rsidR="004514F1" w:rsidRPr="0021674F" w:rsidRDefault="004514F1" w:rsidP="004514F1">
      <w:pPr>
        <w:pStyle w:val="Heading2"/>
      </w:pPr>
      <w:r w:rsidRPr="00116BD3">
        <w:t>Member Profile</w:t>
      </w:r>
      <w:r w:rsidR="006865B7">
        <w:t>:</w:t>
      </w:r>
      <w:r w:rsidRPr="00116BD3">
        <w:t xml:space="preserve"> Meg Dalling, ANZ’s </w:t>
      </w:r>
      <w:r w:rsidRPr="00116BD3">
        <w:rPr>
          <w:shd w:val="clear" w:color="auto" w:fill="FFFFFF"/>
        </w:rPr>
        <w:t>Customer Vulnerability and Accessibility</w:t>
      </w:r>
      <w:r w:rsidRPr="0021674F">
        <w:rPr>
          <w:shd w:val="clear" w:color="auto" w:fill="FFFFFF"/>
        </w:rPr>
        <w:t xml:space="preserve"> Lead</w:t>
      </w:r>
      <w:r w:rsidRPr="0021674F">
        <w:t xml:space="preserve"> </w:t>
      </w:r>
    </w:p>
    <w:p w14:paraId="55DD557D" w14:textId="67F78626" w:rsidR="00750778" w:rsidRPr="00517C2A" w:rsidRDefault="004514F1" w:rsidP="00750778">
      <w:pPr>
        <w:spacing w:before="120" w:after="240"/>
        <w:rPr>
          <w:rFonts w:eastAsia="Times New Roman" w:cs="Times New Roman (Body CS)"/>
          <w:color w:val="500050"/>
          <w:spacing w:val="-2"/>
          <w:lang w:eastAsia="en-GB"/>
        </w:rPr>
      </w:pPr>
      <w:r w:rsidRPr="00517C2A">
        <w:rPr>
          <w:rFonts w:cs="Times New Roman (Body CS)"/>
          <w:spacing w:val="-2"/>
        </w:rPr>
        <w:t xml:space="preserve">ANZ Bank has become one of EAAA’s newest members, a significant move by one of Australia’s big four banks. ANZ’s </w:t>
      </w:r>
      <w:r w:rsidRPr="00517C2A">
        <w:rPr>
          <w:rFonts w:cs="Times New Roman (Body CS)"/>
          <w:spacing w:val="-2"/>
          <w:shd w:val="clear" w:color="auto" w:fill="FFFFFF"/>
        </w:rPr>
        <w:t xml:space="preserve">Customer Vulnerability and Accessibility Lead, Meg Dalling, </w:t>
      </w:r>
      <w:r w:rsidRPr="00517C2A">
        <w:rPr>
          <w:rFonts w:cs="Times New Roman (Body CS)"/>
          <w:spacing w:val="-2"/>
        </w:rPr>
        <w:t>says it is an opportunity to deepen the bank’s understanding of the elder abuse policy landscape” and “engage with other experts to share insights.” Ms Dalling says it is about demonstrating our ongoing commitment to limiting customer harm from financial abuse.</w:t>
      </w:r>
      <w:r w:rsidRPr="00517C2A">
        <w:rPr>
          <w:rFonts w:eastAsia="Times New Roman" w:cs="Times New Roman (Body CS)"/>
          <w:color w:val="500050"/>
          <w:spacing w:val="-2"/>
          <w:lang w:eastAsia="en-GB"/>
        </w:rPr>
        <w:t> </w:t>
      </w:r>
    </w:p>
    <w:p w14:paraId="47618AA2" w14:textId="77777777" w:rsidR="004514F1" w:rsidRPr="0034352A" w:rsidRDefault="004514F1" w:rsidP="00750778">
      <w:pPr>
        <w:spacing w:before="120" w:after="240"/>
        <w:rPr>
          <w:shd w:val="clear" w:color="auto" w:fill="FFFFFF"/>
        </w:rPr>
      </w:pPr>
      <w:r w:rsidRPr="0034352A">
        <w:rPr>
          <w:shd w:val="clear" w:color="auto" w:fill="FFFFFF"/>
        </w:rPr>
        <w:t>EAAA spoke with the ANZ’s Meg Dalling about what the bank is doing to identify, prevent and deal with elder abuse</w:t>
      </w:r>
      <w:r>
        <w:rPr>
          <w:shd w:val="clear" w:color="auto" w:fill="FFFFFF"/>
        </w:rPr>
        <w:t>.</w:t>
      </w:r>
    </w:p>
    <w:p w14:paraId="04104E29" w14:textId="77777777" w:rsidR="004514F1" w:rsidRPr="00517C2A" w:rsidRDefault="004514F1" w:rsidP="00F33979">
      <w:pPr>
        <w:rPr>
          <w:b/>
          <w:bCs/>
          <w:i/>
          <w:iCs/>
          <w:color w:val="7030A0"/>
          <w:lang w:eastAsia="en-GB"/>
        </w:rPr>
      </w:pPr>
      <w:r w:rsidRPr="00517C2A">
        <w:rPr>
          <w:b/>
          <w:bCs/>
          <w:i/>
          <w:iCs/>
          <w:color w:val="7030A0"/>
        </w:rPr>
        <w:t>When</w:t>
      </w:r>
      <w:r w:rsidRPr="00517C2A">
        <w:rPr>
          <w:b/>
          <w:bCs/>
          <w:i/>
          <w:iCs/>
          <w:color w:val="7030A0"/>
          <w:lang w:val="en-US" w:eastAsia="en-GB"/>
        </w:rPr>
        <w:t xml:space="preserve"> did the issue of financial elder abuse become a priority for ANZ?</w:t>
      </w:r>
    </w:p>
    <w:p w14:paraId="00931E31" w14:textId="2AF80E6A" w:rsidR="004514F1" w:rsidRPr="0034352A" w:rsidRDefault="004514F1" w:rsidP="00750778">
      <w:pPr>
        <w:spacing w:before="120" w:after="240"/>
        <w:rPr>
          <w:lang w:eastAsia="en-GB"/>
        </w:rPr>
      </w:pPr>
      <w:r w:rsidRPr="0034352A">
        <w:rPr>
          <w:lang w:eastAsia="en-GB"/>
        </w:rPr>
        <w:t>ANZ has long recognised the important role that banks play in supporting customers impacted by financial elder abuse, a serious issue which can impact anyone in the community. Older customers are more likely to live alone, be isolated or have a physical or cognitive impairment which can mean they rely on others for support, including with their banking.</w:t>
      </w:r>
      <w:r w:rsidR="00750778">
        <w:rPr>
          <w:lang w:eastAsia="en-GB"/>
        </w:rPr>
        <w:t xml:space="preserve"> </w:t>
      </w:r>
      <w:r w:rsidRPr="0034352A">
        <w:rPr>
          <w:lang w:eastAsia="en-GB"/>
        </w:rPr>
        <w:t>In some cases, sadly, this can open the door to abuse. We train frontline bank staff to identify ‘red flags’ of possible elder financial abuse: this may present as unusual financial transactions, the customer being accompanied into a branch by a new acquaintance to make a large withdrawal, by someone who does all the talking or by someone who appears to be coercing the customer into making transactions.  </w:t>
      </w:r>
    </w:p>
    <w:p w14:paraId="26F9E01F" w14:textId="0ECCAEFB" w:rsidR="004514F1" w:rsidRDefault="004514F1" w:rsidP="00750778">
      <w:pPr>
        <w:spacing w:before="120" w:after="240"/>
        <w:rPr>
          <w:rFonts w:cs="Times New Roman (Body CS)"/>
          <w:spacing w:val="-2"/>
          <w:lang w:eastAsia="en-GB"/>
        </w:rPr>
      </w:pPr>
      <w:r w:rsidRPr="00750778">
        <w:rPr>
          <w:rFonts w:cs="Times New Roman (Body CS)"/>
          <w:spacing w:val="-2"/>
          <w:lang w:eastAsia="en-GB"/>
        </w:rPr>
        <w:t>Financial elder abuse is recognised as a type of family violence, and often occurs alongside other types of abuse such as physical or emotional abuse so we need to respond with sensitivity and care.</w:t>
      </w:r>
      <w:r w:rsidR="00750778" w:rsidRPr="00750778">
        <w:rPr>
          <w:rFonts w:cs="Times New Roman (Body CS)"/>
          <w:spacing w:val="-2"/>
          <w:lang w:eastAsia="en-GB"/>
        </w:rPr>
        <w:t xml:space="preserve"> </w:t>
      </w:r>
      <w:r w:rsidRPr="00750778">
        <w:rPr>
          <w:rFonts w:cs="Times New Roman (Body CS)"/>
          <w:spacing w:val="-2"/>
          <w:lang w:eastAsia="en-GB"/>
        </w:rPr>
        <w:t>Where possible, frontline staff will also refer a customer to external support services such as the </w:t>
      </w:r>
      <w:r w:rsidR="00B764AE">
        <w:rPr>
          <w:rFonts w:cs="Times New Roman (Body CS)"/>
          <w:spacing w:val="-2"/>
          <w:lang w:eastAsia="en-GB"/>
        </w:rPr>
        <w:br/>
      </w:r>
      <w:hyperlink r:id="rId11" w:tgtFrame="_blank" w:history="1">
        <w:r w:rsidRPr="00B764AE">
          <w:rPr>
            <w:rFonts w:cs="Times New Roman (Body CS)"/>
            <w:b/>
            <w:bCs/>
            <w:color w:val="ED7D31" w:themeColor="accent2"/>
            <w:spacing w:val="-2"/>
            <w:u w:val="single"/>
            <w:lang w:eastAsia="en-GB"/>
          </w:rPr>
          <w:t>Elder Abuse Helpline</w:t>
        </w:r>
      </w:hyperlink>
      <w:r w:rsidRPr="00B764AE">
        <w:rPr>
          <w:rFonts w:cs="Times New Roman (Body CS)"/>
          <w:color w:val="000000" w:themeColor="text1"/>
          <w:spacing w:val="-2"/>
          <w:lang w:eastAsia="en-GB"/>
        </w:rPr>
        <w:t>.</w:t>
      </w:r>
      <w:r w:rsidR="00750778" w:rsidRPr="00B764AE">
        <w:rPr>
          <w:rFonts w:cs="Times New Roman (Body CS)"/>
          <w:b/>
          <w:bCs/>
          <w:color w:val="ED7D31" w:themeColor="accent2"/>
          <w:spacing w:val="-2"/>
          <w:lang w:eastAsia="en-GB"/>
        </w:rPr>
        <w:t xml:space="preserve"> </w:t>
      </w:r>
      <w:r w:rsidRPr="00750778">
        <w:rPr>
          <w:rFonts w:cs="Times New Roman (Body CS)"/>
          <w:spacing w:val="-2"/>
          <w:lang w:eastAsia="en-GB"/>
        </w:rPr>
        <w:t xml:space="preserve">In exceptional cases such as where we are concerned an attorney is abusing their role and not acting in the interests of the customer, ANZ can engage with adult safeguarding agencies, which in some cases have investigative powers to </w:t>
      </w:r>
      <w:proofErr w:type="gramStart"/>
      <w:r w:rsidRPr="00750778">
        <w:rPr>
          <w:rFonts w:cs="Times New Roman (Body CS)"/>
          <w:spacing w:val="-2"/>
          <w:lang w:eastAsia="en-GB"/>
        </w:rPr>
        <w:t>look into</w:t>
      </w:r>
      <w:proofErr w:type="gramEnd"/>
      <w:r w:rsidRPr="00750778">
        <w:rPr>
          <w:rFonts w:cs="Times New Roman (Body CS)"/>
          <w:spacing w:val="-2"/>
          <w:lang w:eastAsia="en-GB"/>
        </w:rPr>
        <w:t xml:space="preserve"> elder financial abuse. </w:t>
      </w:r>
    </w:p>
    <w:p w14:paraId="11EE5210" w14:textId="7C121510" w:rsidR="00B764AE" w:rsidRPr="00750778" w:rsidRDefault="00B764AE" w:rsidP="00750778">
      <w:pPr>
        <w:spacing w:before="120" w:after="240"/>
        <w:rPr>
          <w:rFonts w:cs="Times New Roman (Body CS)"/>
          <w:spacing w:val="-2"/>
          <w:lang w:eastAsia="en-GB"/>
        </w:rPr>
      </w:pPr>
      <w:r>
        <w:rPr>
          <w:noProof/>
        </w:rPr>
        <w:drawing>
          <wp:anchor distT="0" distB="0" distL="114300" distR="107950" simplePos="0" relativeHeight="251659264" behindDoc="1" locked="0" layoutInCell="1" allowOverlap="1" wp14:anchorId="166599A6" wp14:editId="498AA760">
            <wp:simplePos x="0" y="0"/>
            <wp:positionH relativeFrom="column">
              <wp:posOffset>4445</wp:posOffset>
            </wp:positionH>
            <wp:positionV relativeFrom="paragraph">
              <wp:posOffset>114236</wp:posOffset>
            </wp:positionV>
            <wp:extent cx="2116800" cy="199440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798" t="8976" b="30849"/>
                    <a:stretch/>
                  </pic:blipFill>
                  <pic:spPr bwMode="auto">
                    <a:xfrm>
                      <a:off x="0" y="0"/>
                      <a:ext cx="2116800" cy="199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067B07" w14:textId="02F056FF" w:rsidR="00114C83" w:rsidRPr="00750778" w:rsidRDefault="00114C83" w:rsidP="00B764AE">
      <w:pPr>
        <w:rPr>
          <w:i/>
          <w:iCs/>
          <w:lang w:eastAsia="en-AU"/>
        </w:rPr>
      </w:pPr>
      <w:r w:rsidRPr="009E3320">
        <w:rPr>
          <w:sz w:val="22"/>
          <w:szCs w:val="22"/>
          <w:lang w:eastAsia="en-AU"/>
        </w:rPr>
        <w:t xml:space="preserve"> </w:t>
      </w:r>
    </w:p>
    <w:p w14:paraId="41AA76A9" w14:textId="59462F4E" w:rsidR="00114C83" w:rsidRDefault="00B764AE" w:rsidP="00114C83">
      <w:pPr>
        <w:pStyle w:val="NormalWeb"/>
        <w:shd w:val="clear" w:color="auto" w:fill="FFFFFF"/>
        <w:rPr>
          <w:rFonts w:ascii="Open Sans" w:hAnsi="Open Sans" w:cs="Open Sans"/>
          <w:color w:val="333333"/>
          <w:sz w:val="27"/>
          <w:szCs w:val="27"/>
        </w:rPr>
      </w:pPr>
      <w:r>
        <w:rPr>
          <w:noProof/>
          <w:sz w:val="22"/>
          <w:szCs w:val="22"/>
          <w:lang w:eastAsia="en-AU"/>
        </w:rPr>
        <mc:AlternateContent>
          <mc:Choice Requires="wps">
            <w:drawing>
              <wp:anchor distT="0" distB="0" distL="114300" distR="114300" simplePos="0" relativeHeight="251660288" behindDoc="0" locked="0" layoutInCell="1" allowOverlap="1" wp14:anchorId="11E3CCE0" wp14:editId="6AB37320">
                <wp:simplePos x="0" y="0"/>
                <wp:positionH relativeFrom="column">
                  <wp:posOffset>2233295</wp:posOffset>
                </wp:positionH>
                <wp:positionV relativeFrom="paragraph">
                  <wp:posOffset>41047</wp:posOffset>
                </wp:positionV>
                <wp:extent cx="4047490" cy="1037690"/>
                <wp:effectExtent l="0" t="0" r="3810" b="3810"/>
                <wp:wrapNone/>
                <wp:docPr id="4" name="Text Box 4"/>
                <wp:cNvGraphicFramePr/>
                <a:graphic xmlns:a="http://schemas.openxmlformats.org/drawingml/2006/main">
                  <a:graphicData uri="http://schemas.microsoft.com/office/word/2010/wordprocessingShape">
                    <wps:wsp>
                      <wps:cNvSpPr txBox="1"/>
                      <wps:spPr>
                        <a:xfrm>
                          <a:off x="0" y="0"/>
                          <a:ext cx="4047490" cy="1037690"/>
                        </a:xfrm>
                        <a:prstGeom prst="rect">
                          <a:avLst/>
                        </a:prstGeom>
                        <a:solidFill>
                          <a:schemeClr val="lt1"/>
                        </a:solidFill>
                        <a:ln w="6350">
                          <a:noFill/>
                        </a:ln>
                      </wps:spPr>
                      <wps:txbx>
                        <w:txbxContent>
                          <w:p w14:paraId="2B1BFB18" w14:textId="77777777" w:rsidR="00B764AE" w:rsidRDefault="00B764AE" w:rsidP="00B764AE">
                            <w:pPr>
                              <w:rPr>
                                <w:i/>
                                <w:iCs/>
                                <w:lang w:eastAsia="en-AU"/>
                              </w:rPr>
                            </w:pPr>
                            <w:r w:rsidRPr="00750778">
                              <w:rPr>
                                <w:color w:val="7030A0"/>
                                <w:lang w:eastAsia="en-AU"/>
                              </w:rPr>
                              <w:t>“</w:t>
                            </w:r>
                            <w:r w:rsidRPr="00750778">
                              <w:rPr>
                                <w:i/>
                                <w:iCs/>
                                <w:color w:val="7030A0"/>
                                <w:lang w:eastAsia="en-AU"/>
                              </w:rPr>
                              <w:t xml:space="preserve">ANZ’s membership of EAAA is an opportunity to deepen </w:t>
                            </w:r>
                            <w:r>
                              <w:rPr>
                                <w:i/>
                                <w:iCs/>
                                <w:color w:val="7030A0"/>
                                <w:lang w:eastAsia="en-AU"/>
                              </w:rPr>
                              <w:br/>
                            </w:r>
                            <w:r w:rsidRPr="00750778">
                              <w:rPr>
                                <w:i/>
                                <w:iCs/>
                                <w:color w:val="7030A0"/>
                                <w:lang w:eastAsia="en-AU"/>
                              </w:rPr>
                              <w:t xml:space="preserve">the Bank’s understanding of the elder abuse policy landscape and engage with other experts to share insights.” </w:t>
                            </w:r>
                          </w:p>
                          <w:p w14:paraId="6B7C921F" w14:textId="77777777" w:rsidR="00B764AE" w:rsidRPr="00750778" w:rsidRDefault="00B764AE" w:rsidP="00B764AE">
                            <w:pPr>
                              <w:rPr>
                                <w:b/>
                                <w:bCs/>
                                <w:lang w:eastAsia="en-AU"/>
                              </w:rPr>
                            </w:pPr>
                            <w:r w:rsidRPr="00750778">
                              <w:rPr>
                                <w:b/>
                                <w:bCs/>
                                <w:lang w:eastAsia="en-AU"/>
                              </w:rPr>
                              <w:t xml:space="preserve">Meg </w:t>
                            </w:r>
                            <w:proofErr w:type="spellStart"/>
                            <w:r w:rsidRPr="00750778">
                              <w:rPr>
                                <w:b/>
                                <w:bCs/>
                                <w:lang w:eastAsia="en-AU"/>
                              </w:rPr>
                              <w:t>Dalling</w:t>
                            </w:r>
                            <w:proofErr w:type="spellEnd"/>
                            <w:r w:rsidRPr="00750778">
                              <w:rPr>
                                <w:b/>
                                <w:bCs/>
                                <w:lang w:eastAsia="en-AU"/>
                              </w:rPr>
                              <w:t xml:space="preserve"> </w:t>
                            </w:r>
                          </w:p>
                          <w:p w14:paraId="24FE9744" w14:textId="77777777" w:rsidR="00B764AE" w:rsidRPr="00750778" w:rsidRDefault="00B764AE" w:rsidP="00B764AE">
                            <w:pPr>
                              <w:rPr>
                                <w:i/>
                                <w:iCs/>
                                <w:lang w:eastAsia="en-AU"/>
                              </w:rPr>
                            </w:pPr>
                            <w:r w:rsidRPr="00750778">
                              <w:rPr>
                                <w:i/>
                                <w:iCs/>
                              </w:rPr>
                              <w:t xml:space="preserve">ANZ’s </w:t>
                            </w:r>
                            <w:r w:rsidRPr="00750778">
                              <w:rPr>
                                <w:i/>
                                <w:iCs/>
                                <w:shd w:val="clear" w:color="auto" w:fill="FFFFFF"/>
                              </w:rPr>
                              <w:t>Customer Vulnerability and Accessibility Lead</w:t>
                            </w:r>
                            <w:r w:rsidRPr="00750778">
                              <w:rPr>
                                <w:b/>
                                <w:bCs/>
                                <w:i/>
                                <w:iCs/>
                                <w:lang w:eastAsia="en-AU"/>
                              </w:rPr>
                              <w:t xml:space="preserve"> </w:t>
                            </w:r>
                          </w:p>
                          <w:p w14:paraId="3EB566C1" w14:textId="77777777" w:rsidR="00B764AE" w:rsidRDefault="00B764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3CCE0" id="_x0000_t202" coordsize="21600,21600" o:spt="202" path="m,l,21600r21600,l21600,xe">
                <v:stroke joinstyle="miter"/>
                <v:path gradientshapeok="t" o:connecttype="rect"/>
              </v:shapetype>
              <v:shape id="Text Box 4" o:spid="_x0000_s1026" type="#_x0000_t202" style="position:absolute;margin-left:175.85pt;margin-top:3.25pt;width:318.7pt;height:8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" fillcolor="white [3201]" stroked="f" strokeweight=".5pt">
                <v:textbox>
                  <w:txbxContent>
                    <w:p w14:paraId="2B1BFB18" w14:textId="77777777" w:rsidR="00B764AE" w:rsidRDefault="00B764AE" w:rsidP="00B764AE">
                      <w:pPr>
                        <w:rPr>
                          <w:i/>
                          <w:iCs/>
                          <w:lang w:eastAsia="en-AU"/>
                        </w:rPr>
                      </w:pPr>
                      <w:r w:rsidRPr="00750778">
                        <w:rPr>
                          <w:color w:val="7030A0"/>
                          <w:lang w:eastAsia="en-AU"/>
                        </w:rPr>
                        <w:t>“</w:t>
                      </w:r>
                      <w:r w:rsidRPr="00750778">
                        <w:rPr>
                          <w:i/>
                          <w:iCs/>
                          <w:color w:val="7030A0"/>
                          <w:lang w:eastAsia="en-AU"/>
                        </w:rPr>
                        <w:t xml:space="preserve">ANZ’s membership of EAAA is an opportunity to deepen </w:t>
                      </w:r>
                      <w:r>
                        <w:rPr>
                          <w:i/>
                          <w:iCs/>
                          <w:color w:val="7030A0"/>
                          <w:lang w:eastAsia="en-AU"/>
                        </w:rPr>
                        <w:br/>
                      </w:r>
                      <w:r w:rsidRPr="00750778">
                        <w:rPr>
                          <w:i/>
                          <w:iCs/>
                          <w:color w:val="7030A0"/>
                          <w:lang w:eastAsia="en-AU"/>
                        </w:rPr>
                        <w:t xml:space="preserve">the Bank’s understanding of the elder abuse policy landscape and engage with other experts to share insights.” </w:t>
                      </w:r>
                    </w:p>
                    <w:p w14:paraId="6B7C921F" w14:textId="77777777" w:rsidR="00B764AE" w:rsidRPr="00750778" w:rsidRDefault="00B764AE" w:rsidP="00B764AE">
                      <w:pPr>
                        <w:rPr>
                          <w:b/>
                          <w:bCs/>
                          <w:lang w:eastAsia="en-AU"/>
                        </w:rPr>
                      </w:pPr>
                      <w:r w:rsidRPr="00750778">
                        <w:rPr>
                          <w:b/>
                          <w:bCs/>
                          <w:lang w:eastAsia="en-AU"/>
                        </w:rPr>
                        <w:t xml:space="preserve">Meg </w:t>
                      </w:r>
                      <w:proofErr w:type="spellStart"/>
                      <w:r w:rsidRPr="00750778">
                        <w:rPr>
                          <w:b/>
                          <w:bCs/>
                          <w:lang w:eastAsia="en-AU"/>
                        </w:rPr>
                        <w:t>Dalling</w:t>
                      </w:r>
                      <w:proofErr w:type="spellEnd"/>
                      <w:r w:rsidRPr="00750778">
                        <w:rPr>
                          <w:b/>
                          <w:bCs/>
                          <w:lang w:eastAsia="en-AU"/>
                        </w:rPr>
                        <w:t xml:space="preserve"> </w:t>
                      </w:r>
                    </w:p>
                    <w:p w14:paraId="24FE9744" w14:textId="77777777" w:rsidR="00B764AE" w:rsidRPr="00750778" w:rsidRDefault="00B764AE" w:rsidP="00B764AE">
                      <w:pPr>
                        <w:rPr>
                          <w:i/>
                          <w:iCs/>
                          <w:lang w:eastAsia="en-AU"/>
                        </w:rPr>
                      </w:pPr>
                      <w:r w:rsidRPr="00750778">
                        <w:rPr>
                          <w:i/>
                          <w:iCs/>
                        </w:rPr>
                        <w:t xml:space="preserve">ANZ’s </w:t>
                      </w:r>
                      <w:r w:rsidRPr="00750778">
                        <w:rPr>
                          <w:i/>
                          <w:iCs/>
                          <w:shd w:val="clear" w:color="auto" w:fill="FFFFFF"/>
                        </w:rPr>
                        <w:t>Customer Vulnerability and Accessibility Lead</w:t>
                      </w:r>
                      <w:r w:rsidRPr="00750778">
                        <w:rPr>
                          <w:b/>
                          <w:bCs/>
                          <w:i/>
                          <w:iCs/>
                          <w:lang w:eastAsia="en-AU"/>
                        </w:rPr>
                        <w:t xml:space="preserve"> </w:t>
                      </w:r>
                    </w:p>
                    <w:p w14:paraId="3EB566C1" w14:textId="77777777" w:rsidR="00B764AE" w:rsidRDefault="00B764AE"/>
                  </w:txbxContent>
                </v:textbox>
              </v:shape>
            </w:pict>
          </mc:Fallback>
        </mc:AlternateContent>
      </w:r>
    </w:p>
    <w:p w14:paraId="4397174C" w14:textId="27634E43" w:rsidR="00114C83" w:rsidRDefault="00114C83" w:rsidP="00114C83">
      <w:pPr>
        <w:rPr>
          <w:rStyle w:val="normaltextrun"/>
          <w:rFonts w:ascii="Avenir Book" w:eastAsiaTheme="majorEastAsia" w:hAnsi="Avenir Book" w:cs="Open Sans"/>
          <w:sz w:val="22"/>
          <w:szCs w:val="22"/>
        </w:rPr>
      </w:pPr>
    </w:p>
    <w:p w14:paraId="17A811D7" w14:textId="6A456F4C" w:rsidR="006865B7" w:rsidRDefault="006865B7" w:rsidP="00A718A8">
      <w:pPr>
        <w:rPr>
          <w:b/>
          <w:bCs/>
          <w:i/>
          <w:iCs/>
          <w:lang w:val="en-US" w:eastAsia="en-GB"/>
        </w:rPr>
      </w:pPr>
    </w:p>
    <w:p w14:paraId="7CF29120" w14:textId="77777777" w:rsidR="006865B7" w:rsidRDefault="006865B7" w:rsidP="00A718A8">
      <w:pPr>
        <w:rPr>
          <w:b/>
          <w:bCs/>
          <w:i/>
          <w:iCs/>
          <w:lang w:val="en-US" w:eastAsia="en-GB"/>
        </w:rPr>
      </w:pPr>
    </w:p>
    <w:p w14:paraId="5B17C015" w14:textId="25C11FED" w:rsidR="004514F1" w:rsidRPr="00517C2A" w:rsidRDefault="004514F1" w:rsidP="00A718A8">
      <w:pPr>
        <w:rPr>
          <w:b/>
          <w:bCs/>
          <w:i/>
          <w:iCs/>
          <w:color w:val="7030A0"/>
          <w:lang w:eastAsia="en-GB"/>
        </w:rPr>
      </w:pPr>
      <w:r w:rsidRPr="00517C2A">
        <w:rPr>
          <w:b/>
          <w:bCs/>
          <w:i/>
          <w:iCs/>
          <w:color w:val="7030A0"/>
          <w:lang w:val="en-US" w:eastAsia="en-GB"/>
        </w:rPr>
        <w:lastRenderedPageBreak/>
        <w:t>What are the challenges your organisation faces in combatting financial elder abuse as banking becomes more digital and older people aren’t seen as often face to face?</w:t>
      </w:r>
    </w:p>
    <w:p w14:paraId="3930BB29" w14:textId="01547F33" w:rsidR="004514F1" w:rsidRPr="0034352A" w:rsidRDefault="004514F1" w:rsidP="00750778">
      <w:pPr>
        <w:spacing w:before="120" w:after="240"/>
        <w:rPr>
          <w:lang w:eastAsia="en-GB"/>
        </w:rPr>
      </w:pPr>
      <w:r w:rsidRPr="0034352A">
        <w:rPr>
          <w:lang w:eastAsia="en-GB"/>
        </w:rPr>
        <w:t>We are seeing a rapid transition to digital in all aspects of our lives, not just banking</w:t>
      </w:r>
      <w:r w:rsidR="00750778">
        <w:rPr>
          <w:lang w:eastAsia="en-GB"/>
        </w:rPr>
        <w:t xml:space="preserve">. </w:t>
      </w:r>
      <w:r w:rsidRPr="0034352A">
        <w:rPr>
          <w:lang w:eastAsia="en-GB"/>
        </w:rPr>
        <w:t>While this can bring improved access and convenience, it can also present new challenges for issues like financial elder abuse where we have traditionally relied on face-to-face interactions as a way of identifying and responding to potential misuse of a customer’s funds.</w:t>
      </w:r>
      <w:r w:rsidR="00750778">
        <w:rPr>
          <w:lang w:eastAsia="en-GB"/>
        </w:rPr>
        <w:t xml:space="preserve"> </w:t>
      </w:r>
      <w:r w:rsidRPr="0034352A">
        <w:rPr>
          <w:lang w:eastAsia="en-GB"/>
        </w:rPr>
        <w:t>We are exploring more closely how we might actively use our data to identify abuse - but there will be unique challenges associated with this. We know, for example, from the recent </w:t>
      </w:r>
      <w:hyperlink r:id="rId13" w:tgtFrame="_blank" w:history="1">
        <w:r w:rsidRPr="00B764AE">
          <w:rPr>
            <w:rFonts w:cstheme="minorHAnsi"/>
            <w:b/>
            <w:bCs/>
            <w:color w:val="ED7D31" w:themeColor="accent2"/>
            <w:u w:val="single"/>
            <w:lang w:eastAsia="en-GB"/>
          </w:rPr>
          <w:t>Elder Abuse Survey</w:t>
        </w:r>
      </w:hyperlink>
      <w:r w:rsidRPr="00B764AE">
        <w:rPr>
          <w:color w:val="ED7D31" w:themeColor="accent2"/>
          <w:lang w:eastAsia="en-GB"/>
        </w:rPr>
        <w:t> </w:t>
      </w:r>
      <w:r w:rsidRPr="0034352A">
        <w:rPr>
          <w:lang w:eastAsia="en-GB"/>
        </w:rPr>
        <w:t xml:space="preserve">that up to 28 per cent of older Australians have shared their pin or password with someone else to assist with their banking. </w:t>
      </w:r>
      <w:r w:rsidR="00B764AE">
        <w:rPr>
          <w:lang w:eastAsia="en-GB"/>
        </w:rPr>
        <w:br/>
      </w:r>
      <w:r w:rsidRPr="0034352A">
        <w:rPr>
          <w:lang w:eastAsia="en-GB"/>
        </w:rPr>
        <w:t>These informal support arrangements are not visible to banks and make it difficult for us to detect suspicious transactions.</w:t>
      </w:r>
      <w:r w:rsidR="00750778">
        <w:rPr>
          <w:lang w:eastAsia="en-GB"/>
        </w:rPr>
        <w:t xml:space="preserve"> </w:t>
      </w:r>
      <w:r w:rsidRPr="0034352A">
        <w:rPr>
          <w:lang w:eastAsia="en-GB"/>
        </w:rPr>
        <w:t>So, we need to consider customer behavioural factors as well as the changing landscape in digital banking.</w:t>
      </w:r>
    </w:p>
    <w:p w14:paraId="1D88E7AB" w14:textId="77777777" w:rsidR="004514F1" w:rsidRPr="00517C2A" w:rsidRDefault="004514F1" w:rsidP="00A718A8">
      <w:pPr>
        <w:rPr>
          <w:b/>
          <w:bCs/>
          <w:i/>
          <w:iCs/>
          <w:color w:val="7030A0"/>
          <w:lang w:eastAsia="en-GB"/>
        </w:rPr>
      </w:pPr>
      <w:r w:rsidRPr="00517C2A">
        <w:rPr>
          <w:b/>
          <w:bCs/>
          <w:i/>
          <w:iCs/>
          <w:color w:val="7030A0"/>
          <w:lang w:val="en-US" w:eastAsia="en-GB"/>
        </w:rPr>
        <w:t>With Australia’s rapidly ageing population and a looming intergenerational wealth transfer, how confident are you that older people can be protected from financial abuse?</w:t>
      </w:r>
    </w:p>
    <w:p w14:paraId="282C4172" w14:textId="4F2874B6" w:rsidR="004514F1" w:rsidRPr="0034352A" w:rsidRDefault="004514F1" w:rsidP="00750778">
      <w:pPr>
        <w:spacing w:before="120" w:after="240"/>
        <w:rPr>
          <w:lang w:eastAsia="en-GB"/>
        </w:rPr>
      </w:pPr>
      <w:r w:rsidRPr="0034352A">
        <w:rPr>
          <w:lang w:eastAsia="en-GB"/>
        </w:rPr>
        <w:t>Strong community support and connections are known protective factors against elder abuse, including financial abuse, so we must continue to prioritise these areas to protect vulnerable older Australians.</w:t>
      </w:r>
      <w:r w:rsidR="00750778">
        <w:rPr>
          <w:lang w:eastAsia="en-GB"/>
        </w:rPr>
        <w:t xml:space="preserve"> </w:t>
      </w:r>
      <w:r w:rsidRPr="0034352A">
        <w:rPr>
          <w:lang w:eastAsia="en-GB"/>
        </w:rPr>
        <w:t>Banks will continue to focus on training and building strong referral pathways for support, and increasingly also data analysis to help identify and support customers impacted by financial abuse.</w:t>
      </w:r>
    </w:p>
    <w:p w14:paraId="1A423689" w14:textId="629F36FA" w:rsidR="000559EB" w:rsidRDefault="000559EB" w:rsidP="00A718A8"/>
    <w:sectPr w:rsidR="000559EB" w:rsidSect="00076D59">
      <w:headerReference w:type="default" r:id="rId14"/>
      <w:footerReference w:type="even" r:id="rId15"/>
      <w:footerReference w:type="default" r:id="rId16"/>
      <w:pgSz w:w="11906" w:h="16838"/>
      <w:pgMar w:top="2892" w:right="1077" w:bottom="1440" w:left="1077"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1EF9A" w14:textId="77777777" w:rsidR="00446731" w:rsidRDefault="00446731" w:rsidP="00DB7C32">
      <w:r>
        <w:separator/>
      </w:r>
    </w:p>
  </w:endnote>
  <w:endnote w:type="continuationSeparator" w:id="0">
    <w:p w14:paraId="01057ECF" w14:textId="77777777" w:rsidR="00446731" w:rsidRDefault="00446731" w:rsidP="00DB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Body CS)">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Avenir Book">
    <w:altName w:val="Tw Cen MT"/>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8940795"/>
      <w:docPartObj>
        <w:docPartGallery w:val="Page Numbers (Bottom of Page)"/>
        <w:docPartUnique/>
      </w:docPartObj>
    </w:sdtPr>
    <w:sdtContent>
      <w:p w14:paraId="5A4702D5" w14:textId="6BBA5A0C" w:rsidR="0021797A" w:rsidRDefault="0021797A" w:rsidP="00771A59">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FE440C" w14:textId="77777777" w:rsidR="0021797A" w:rsidRDefault="0021797A" w:rsidP="0021797A">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9087546"/>
      <w:docPartObj>
        <w:docPartGallery w:val="Page Numbers (Bottom of Page)"/>
        <w:docPartUnique/>
      </w:docPartObj>
    </w:sdtPr>
    <w:sdtEndPr>
      <w:rPr>
        <w:rStyle w:val="PageNumber"/>
        <w:color w:val="AEAAAA" w:themeColor="background2" w:themeShade="BF"/>
        <w:sz w:val="21"/>
        <w:szCs w:val="21"/>
      </w:rPr>
    </w:sdtEndPr>
    <w:sdtContent>
      <w:p w14:paraId="3DCD09A8" w14:textId="60472CCA" w:rsidR="0021797A" w:rsidRPr="0021797A" w:rsidRDefault="0021797A" w:rsidP="00771A59">
        <w:pPr>
          <w:framePr w:wrap="none" w:vAnchor="text" w:hAnchor="margin" w:xAlign="right" w:y="1"/>
          <w:rPr>
            <w:rStyle w:val="PageNumber"/>
            <w:color w:val="AEAAAA" w:themeColor="background2" w:themeShade="BF"/>
            <w:sz w:val="21"/>
            <w:szCs w:val="21"/>
          </w:rPr>
        </w:pPr>
        <w:r w:rsidRPr="0021797A">
          <w:rPr>
            <w:rStyle w:val="PageNumber"/>
            <w:color w:val="AEAAAA" w:themeColor="background2" w:themeShade="BF"/>
            <w:sz w:val="21"/>
            <w:szCs w:val="21"/>
          </w:rPr>
          <w:fldChar w:fldCharType="begin"/>
        </w:r>
        <w:r w:rsidRPr="0021797A">
          <w:rPr>
            <w:rStyle w:val="PageNumber"/>
            <w:color w:val="AEAAAA" w:themeColor="background2" w:themeShade="BF"/>
            <w:sz w:val="21"/>
            <w:szCs w:val="21"/>
          </w:rPr>
          <w:instrText xml:space="preserve"> PAGE </w:instrText>
        </w:r>
        <w:r w:rsidRPr="0021797A">
          <w:rPr>
            <w:rStyle w:val="PageNumber"/>
            <w:color w:val="AEAAAA" w:themeColor="background2" w:themeShade="BF"/>
            <w:sz w:val="21"/>
            <w:szCs w:val="21"/>
          </w:rPr>
          <w:fldChar w:fldCharType="separate"/>
        </w:r>
        <w:r w:rsidRPr="0021797A">
          <w:rPr>
            <w:rStyle w:val="PageNumber"/>
            <w:noProof/>
            <w:color w:val="AEAAAA" w:themeColor="background2" w:themeShade="BF"/>
            <w:sz w:val="21"/>
            <w:szCs w:val="21"/>
          </w:rPr>
          <w:t>1</w:t>
        </w:r>
        <w:r w:rsidRPr="0021797A">
          <w:rPr>
            <w:rStyle w:val="PageNumber"/>
            <w:color w:val="AEAAAA" w:themeColor="background2" w:themeShade="BF"/>
            <w:sz w:val="21"/>
            <w:szCs w:val="21"/>
          </w:rPr>
          <w:fldChar w:fldCharType="end"/>
        </w:r>
      </w:p>
    </w:sdtContent>
  </w:sdt>
  <w:p w14:paraId="29F16E40" w14:textId="0E5FC2D2" w:rsidR="0021797A" w:rsidRPr="0021797A" w:rsidRDefault="000578FE" w:rsidP="0021797A">
    <w:pPr>
      <w:ind w:right="360"/>
      <w:rPr>
        <w:color w:val="AEAAAA" w:themeColor="background2" w:themeShade="BF"/>
        <w:sz w:val="21"/>
        <w:szCs w:val="21"/>
      </w:rPr>
    </w:pPr>
    <w:r>
      <w:rPr>
        <w:color w:val="AEAAAA" w:themeColor="background2" w:themeShade="BF"/>
        <w:sz w:val="21"/>
        <w:szCs w:val="21"/>
      </w:rPr>
      <w:t>February Newsletter</w:t>
    </w:r>
    <w:r>
      <w:rPr>
        <w:color w:val="AEAAAA" w:themeColor="background2" w:themeShade="BF"/>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1F64" w14:textId="77777777" w:rsidR="00446731" w:rsidRDefault="00446731" w:rsidP="00DB7C32">
      <w:r>
        <w:separator/>
      </w:r>
    </w:p>
  </w:footnote>
  <w:footnote w:type="continuationSeparator" w:id="0">
    <w:p w14:paraId="014CEC6A" w14:textId="77777777" w:rsidR="00446731" w:rsidRDefault="00446731" w:rsidP="00DB7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11FD" w14:textId="787D2C0D" w:rsidR="00DB7C32" w:rsidRDefault="0001383F" w:rsidP="008C7B12">
    <w:r>
      <w:rPr>
        <w:noProof/>
      </w:rPr>
      <w:drawing>
        <wp:anchor distT="0" distB="0" distL="114300" distR="114300" simplePos="0" relativeHeight="251661312" behindDoc="0" locked="0" layoutInCell="1" allowOverlap="1" wp14:anchorId="3EA73EC9" wp14:editId="00227E9D">
          <wp:simplePos x="0" y="0"/>
          <wp:positionH relativeFrom="margin">
            <wp:align>center</wp:align>
          </wp:positionH>
          <wp:positionV relativeFrom="paragraph">
            <wp:posOffset>9525</wp:posOffset>
          </wp:positionV>
          <wp:extent cx="7552690" cy="1434465"/>
          <wp:effectExtent l="0" t="0" r="3810" b="635"/>
          <wp:wrapThrough wrapText="bothSides">
            <wp:wrapPolygon edited="0">
              <wp:start x="0" y="0"/>
              <wp:lineTo x="0" y="21418"/>
              <wp:lineTo x="21575" y="21418"/>
              <wp:lineTo x="2157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3156" cy="1434465"/>
                  </a:xfrm>
                  <a:prstGeom prst="rect">
                    <a:avLst/>
                  </a:prstGeom>
                </pic:spPr>
              </pic:pic>
            </a:graphicData>
          </a:graphic>
          <wp14:sizeRelH relativeFrom="margin">
            <wp14:pctWidth>0</wp14:pctWidth>
          </wp14:sizeRelH>
          <wp14:sizeRelV relativeFrom="margin">
            <wp14:pctHeight>0</wp14:pctHeight>
          </wp14:sizeRelV>
        </wp:anchor>
      </w:drawing>
    </w:r>
    <w:r w:rsidR="00E92BE1">
      <w:rPr>
        <w:noProof/>
      </w:rPr>
      <mc:AlternateContent>
        <mc:Choice Requires="wps">
          <w:drawing>
            <wp:anchor distT="0" distB="0" distL="114300" distR="114300" simplePos="0" relativeHeight="251663360" behindDoc="0" locked="0" layoutInCell="1" allowOverlap="1" wp14:anchorId="12E2C65A" wp14:editId="750FEFE5">
              <wp:simplePos x="0" y="0"/>
              <wp:positionH relativeFrom="column">
                <wp:posOffset>-88900</wp:posOffset>
              </wp:positionH>
              <wp:positionV relativeFrom="paragraph">
                <wp:posOffset>415290</wp:posOffset>
              </wp:positionV>
              <wp:extent cx="1828800" cy="481581"/>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481581"/>
                      </a:xfrm>
                      <a:prstGeom prst="rect">
                        <a:avLst/>
                      </a:prstGeom>
                      <a:noFill/>
                      <a:ln w="6350">
                        <a:noFill/>
                      </a:ln>
                    </wps:spPr>
                    <wps:txbx>
                      <w:txbxContent>
                        <w:p w14:paraId="40E1C1A2" w14:textId="7B962C06" w:rsidR="00E92BE1" w:rsidRPr="00E92BE1" w:rsidRDefault="00B74598" w:rsidP="00E92BE1">
                          <w:pPr>
                            <w:tabs>
                              <w:tab w:val="center" w:pos="4513"/>
                              <w:tab w:val="right" w:pos="9026"/>
                            </w:tabs>
                            <w:rPr>
                              <w:noProof/>
                              <w:color w:val="FFFFFF" w:themeColor="background1"/>
                            </w:rPr>
                          </w:pPr>
                          <w:r>
                            <w:rPr>
                              <w:color w:val="FFFFFF" w:themeColor="background1"/>
                            </w:rPr>
                            <w:t>February Newsletter</w:t>
                          </w:r>
                          <w:r w:rsidR="00E92BE1" w:rsidRPr="00E92BE1">
                            <w:rPr>
                              <w:color w:val="FFFFFF" w:themeColor="background1"/>
                            </w:rPr>
                            <w:br/>
                          </w:r>
                          <w:r>
                            <w:rPr>
                              <w:b/>
                              <w:bCs/>
                              <w:color w:val="FFFFFF" w:themeColor="background1"/>
                            </w:rPr>
                            <w:t>Member Profile - ANZ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2C65A" id="_x0000_t202" coordsize="21600,21600" o:spt="202" path="m,l,21600r21600,l21600,xe">
              <v:stroke joinstyle="miter"/>
              <v:path gradientshapeok="t" o:connecttype="rect"/>
            </v:shapetype>
            <v:shape id="Text Box 1" o:spid="_x0000_s1026" type="#_x0000_t202" style="position:absolute;margin-left:-7pt;margin-top:32.7pt;width:2in;height:37.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" filled="f" stroked="f" strokeweight=".5pt">
              <v:textbox>
                <w:txbxContent>
                  <w:p w14:paraId="40E1C1A2" w14:textId="7B962C06" w:rsidR="00E92BE1" w:rsidRPr="00E92BE1" w:rsidRDefault="00B74598" w:rsidP="00E92BE1">
                    <w:pPr>
                      <w:tabs>
                        <w:tab w:val="center" w:pos="4513"/>
                        <w:tab w:val="right" w:pos="9026"/>
                      </w:tabs>
                      <w:rPr>
                        <w:noProof/>
                        <w:color w:val="FFFFFF" w:themeColor="background1"/>
                      </w:rPr>
                    </w:pPr>
                    <w:r>
                      <w:rPr>
                        <w:color w:val="FFFFFF" w:themeColor="background1"/>
                      </w:rPr>
                      <w:t>February Newsletter</w:t>
                    </w:r>
                    <w:r w:rsidR="00E92BE1" w:rsidRPr="00E92BE1">
                      <w:rPr>
                        <w:color w:val="FFFFFF" w:themeColor="background1"/>
                      </w:rPr>
                      <w:br/>
                    </w:r>
                    <w:r>
                      <w:rPr>
                        <w:b/>
                        <w:bCs/>
                        <w:color w:val="FFFFFF" w:themeColor="background1"/>
                      </w:rPr>
                      <w:t>Member Profile - ANZ</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86B8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1C2E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2C65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2A1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5A8C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01C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4008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3E19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8ED3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74C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B408B"/>
    <w:multiLevelType w:val="hybridMultilevel"/>
    <w:tmpl w:val="D2383CC0"/>
    <w:lvl w:ilvl="0" w:tplc="FDF8C314">
      <w:start w:val="1"/>
      <w:numFmt w:val="bullet"/>
      <w:lvlText w:val=""/>
      <w:lvlJc w:val="left"/>
      <w:pPr>
        <w:ind w:left="720" w:hanging="360"/>
      </w:pPr>
      <w:rPr>
        <w:rFonts w:ascii="Symbol" w:hAnsi="Symbol" w:hint="default"/>
        <w:color w:val="5D3B9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0F44648"/>
    <w:multiLevelType w:val="hybridMultilevel"/>
    <w:tmpl w:val="35A2FC48"/>
    <w:lvl w:ilvl="0" w:tplc="53E83CE2">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77D6A18"/>
    <w:multiLevelType w:val="hybridMultilevel"/>
    <w:tmpl w:val="C944ADB8"/>
    <w:lvl w:ilvl="0" w:tplc="F948E29E">
      <w:start w:val="1"/>
      <w:numFmt w:val="bullet"/>
      <w:pStyle w:val="IntroBullets"/>
      <w:lvlText w:val=""/>
      <w:lvlJc w:val="left"/>
      <w:pPr>
        <w:ind w:left="720" w:hanging="360"/>
      </w:pPr>
      <w:rPr>
        <w:rFonts w:ascii="Symbol" w:hAnsi="Symbol" w:hint="default"/>
        <w:color w:val="5D3B9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A190AC2"/>
    <w:multiLevelType w:val="hybridMultilevel"/>
    <w:tmpl w:val="EC42449A"/>
    <w:lvl w:ilvl="0" w:tplc="9FECBF5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6F7B21"/>
    <w:multiLevelType w:val="hybridMultilevel"/>
    <w:tmpl w:val="C9B476E0"/>
    <w:lvl w:ilvl="0" w:tplc="FDF8C314">
      <w:start w:val="1"/>
      <w:numFmt w:val="bullet"/>
      <w:lvlText w:val=""/>
      <w:lvlJc w:val="left"/>
      <w:pPr>
        <w:ind w:left="720" w:hanging="360"/>
      </w:pPr>
      <w:rPr>
        <w:rFonts w:ascii="Symbol" w:hAnsi="Symbol" w:hint="default"/>
        <w:color w:val="5D3B9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250116"/>
    <w:multiLevelType w:val="hybridMultilevel"/>
    <w:tmpl w:val="D42086DC"/>
    <w:lvl w:ilvl="0" w:tplc="4E5A26B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053718"/>
    <w:multiLevelType w:val="hybridMultilevel"/>
    <w:tmpl w:val="CC82363C"/>
    <w:lvl w:ilvl="0" w:tplc="984879D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D42B7F"/>
    <w:multiLevelType w:val="hybridMultilevel"/>
    <w:tmpl w:val="41E42E10"/>
    <w:lvl w:ilvl="0" w:tplc="880CC3AC">
      <w:start w:val="1"/>
      <w:numFmt w:val="bullet"/>
      <w:pStyle w:val="BulletsLv2"/>
      <w:lvlText w:val="­"/>
      <w:lvlJc w:val="left"/>
      <w:pPr>
        <w:ind w:left="1080" w:hanging="360"/>
      </w:pPr>
      <w:rPr>
        <w:rFonts w:ascii="Courier New" w:hAnsi="Courier New" w:hint="default"/>
        <w:color w:val="ED7D31" w:themeColor="accent2"/>
      </w:rPr>
    </w:lvl>
    <w:lvl w:ilvl="1" w:tplc="FFFFFFFF">
      <w:start w:val="1"/>
      <w:numFmt w:val="bullet"/>
      <w:lvlText w:val="­"/>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1D0F7555"/>
    <w:multiLevelType w:val="multilevel"/>
    <w:tmpl w:val="FD6A6D2E"/>
    <w:styleLink w:val="CurrentList2"/>
    <w:lvl w:ilvl="0">
      <w:start w:val="1"/>
      <w:numFmt w:val="bullet"/>
      <w:lvlText w:val=""/>
      <w:lvlJc w:val="left"/>
      <w:pPr>
        <w:ind w:left="1080" w:hanging="360"/>
      </w:pPr>
      <w:rPr>
        <w:rFonts w:ascii="Symbol" w:hAnsi="Symbol" w:hint="default"/>
        <w:color w:val="5D3B9F"/>
      </w:rPr>
    </w:lvl>
    <w:lvl w:ilvl="1">
      <w:start w:val="1"/>
      <w:numFmt w:val="bullet"/>
      <w:lvlText w:val="­"/>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1EE14FD4"/>
    <w:multiLevelType w:val="hybridMultilevel"/>
    <w:tmpl w:val="AC14F204"/>
    <w:lvl w:ilvl="0" w:tplc="DF7AE64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3759DC"/>
    <w:multiLevelType w:val="hybridMultilevel"/>
    <w:tmpl w:val="FD6A6D2E"/>
    <w:lvl w:ilvl="0" w:tplc="FFFFFFFF">
      <w:start w:val="1"/>
      <w:numFmt w:val="bullet"/>
      <w:lvlText w:val=""/>
      <w:lvlJc w:val="left"/>
      <w:pPr>
        <w:ind w:left="1080" w:hanging="360"/>
      </w:pPr>
      <w:rPr>
        <w:rFonts w:ascii="Symbol" w:hAnsi="Symbol" w:hint="default"/>
        <w:color w:val="5D3B9F"/>
      </w:rPr>
    </w:lvl>
    <w:lvl w:ilvl="1" w:tplc="F080F50A">
      <w:start w:val="1"/>
      <w:numFmt w:val="bullet"/>
      <w:lvlText w:val="­"/>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3960442B"/>
    <w:multiLevelType w:val="hybridMultilevel"/>
    <w:tmpl w:val="E2C42C30"/>
    <w:lvl w:ilvl="0" w:tplc="53E83CE2">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A533E0"/>
    <w:multiLevelType w:val="hybridMultilevel"/>
    <w:tmpl w:val="E59058A4"/>
    <w:lvl w:ilvl="0" w:tplc="4E32481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2B63ED"/>
    <w:multiLevelType w:val="multilevel"/>
    <w:tmpl w:val="C9B476E0"/>
    <w:styleLink w:val="CurrentList1"/>
    <w:lvl w:ilvl="0">
      <w:start w:val="1"/>
      <w:numFmt w:val="bullet"/>
      <w:lvlText w:val=""/>
      <w:lvlJc w:val="left"/>
      <w:pPr>
        <w:ind w:left="720" w:hanging="360"/>
      </w:pPr>
      <w:rPr>
        <w:rFonts w:ascii="Symbol" w:hAnsi="Symbol" w:hint="default"/>
        <w:color w:val="5D3B9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140293B"/>
    <w:multiLevelType w:val="hybridMultilevel"/>
    <w:tmpl w:val="478ADCEA"/>
    <w:lvl w:ilvl="0" w:tplc="0DD2A1F8">
      <w:start w:val="1"/>
      <w:numFmt w:val="bullet"/>
      <w:lvlText w:val=""/>
      <w:lvlJc w:val="left"/>
      <w:pPr>
        <w:ind w:left="1080" w:hanging="360"/>
      </w:pPr>
      <w:rPr>
        <w:rFonts w:ascii="Symbol" w:hAnsi="Symbol" w:hint="default"/>
        <w:color w:val="ED7D31" w:themeColor="accent2"/>
      </w:rPr>
    </w:lvl>
    <w:lvl w:ilvl="1" w:tplc="FFFFFFFF">
      <w:start w:val="1"/>
      <w:numFmt w:val="bullet"/>
      <w:lvlText w:val="­"/>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65610FD0"/>
    <w:multiLevelType w:val="hybridMultilevel"/>
    <w:tmpl w:val="A7C01FD4"/>
    <w:lvl w:ilvl="0" w:tplc="27204A02">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B8B0FEF"/>
    <w:multiLevelType w:val="hybridMultilevel"/>
    <w:tmpl w:val="30A8E224"/>
    <w:lvl w:ilvl="0" w:tplc="34B2EBC2">
      <w:start w:val="1"/>
      <w:numFmt w:val="bullet"/>
      <w:pStyle w:val="BulletsLv1"/>
      <w:lvlText w:val=""/>
      <w:lvlJc w:val="left"/>
      <w:pPr>
        <w:ind w:left="720" w:hanging="360"/>
      </w:pPr>
      <w:rPr>
        <w:rFonts w:ascii="Symbol" w:hAnsi="Symbol" w:hint="default"/>
        <w:color w:val="5D3B9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9B1E48"/>
    <w:multiLevelType w:val="hybridMultilevel"/>
    <w:tmpl w:val="B55E5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0162165">
    <w:abstractNumId w:val="27"/>
  </w:num>
  <w:num w:numId="2" w16cid:durableId="2073382650">
    <w:abstractNumId w:val="12"/>
  </w:num>
  <w:num w:numId="3" w16cid:durableId="1660038279">
    <w:abstractNumId w:val="26"/>
  </w:num>
  <w:num w:numId="4" w16cid:durableId="1276522789">
    <w:abstractNumId w:val="14"/>
  </w:num>
  <w:num w:numId="5" w16cid:durableId="969365659">
    <w:abstractNumId w:val="23"/>
  </w:num>
  <w:num w:numId="6" w16cid:durableId="427313730">
    <w:abstractNumId w:val="20"/>
  </w:num>
  <w:num w:numId="7" w16cid:durableId="459567872">
    <w:abstractNumId w:val="18"/>
  </w:num>
  <w:num w:numId="8" w16cid:durableId="1689135347">
    <w:abstractNumId w:val="24"/>
  </w:num>
  <w:num w:numId="9" w16cid:durableId="1513376196">
    <w:abstractNumId w:val="17"/>
  </w:num>
  <w:num w:numId="10" w16cid:durableId="1273779243">
    <w:abstractNumId w:val="16"/>
  </w:num>
  <w:num w:numId="11" w16cid:durableId="1714571884">
    <w:abstractNumId w:val="13"/>
  </w:num>
  <w:num w:numId="12" w16cid:durableId="666633827">
    <w:abstractNumId w:val="15"/>
  </w:num>
  <w:num w:numId="13" w16cid:durableId="1085876580">
    <w:abstractNumId w:val="22"/>
  </w:num>
  <w:num w:numId="14" w16cid:durableId="770011086">
    <w:abstractNumId w:val="19"/>
  </w:num>
  <w:num w:numId="15" w16cid:durableId="2011984109">
    <w:abstractNumId w:val="25"/>
  </w:num>
  <w:num w:numId="16" w16cid:durableId="1925456551">
    <w:abstractNumId w:val="11"/>
  </w:num>
  <w:num w:numId="17" w16cid:durableId="870848134">
    <w:abstractNumId w:val="21"/>
  </w:num>
  <w:num w:numId="18" w16cid:durableId="1517570975">
    <w:abstractNumId w:val="10"/>
  </w:num>
  <w:num w:numId="19" w16cid:durableId="453520663">
    <w:abstractNumId w:val="0"/>
  </w:num>
  <w:num w:numId="20" w16cid:durableId="563565100">
    <w:abstractNumId w:val="1"/>
  </w:num>
  <w:num w:numId="21" w16cid:durableId="933396205">
    <w:abstractNumId w:val="2"/>
  </w:num>
  <w:num w:numId="22" w16cid:durableId="744762429">
    <w:abstractNumId w:val="3"/>
  </w:num>
  <w:num w:numId="23" w16cid:durableId="1999307230">
    <w:abstractNumId w:val="8"/>
  </w:num>
  <w:num w:numId="24" w16cid:durableId="615060737">
    <w:abstractNumId w:val="4"/>
  </w:num>
  <w:num w:numId="25" w16cid:durableId="390006038">
    <w:abstractNumId w:val="5"/>
  </w:num>
  <w:num w:numId="26" w16cid:durableId="1755126696">
    <w:abstractNumId w:val="6"/>
  </w:num>
  <w:num w:numId="27" w16cid:durableId="93594527">
    <w:abstractNumId w:val="7"/>
  </w:num>
  <w:num w:numId="28" w16cid:durableId="3414428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C32"/>
    <w:rsid w:val="000117BD"/>
    <w:rsid w:val="0001383F"/>
    <w:rsid w:val="000559EB"/>
    <w:rsid w:val="000578FE"/>
    <w:rsid w:val="00076D59"/>
    <w:rsid w:val="00096A5D"/>
    <w:rsid w:val="000C5499"/>
    <w:rsid w:val="000D2461"/>
    <w:rsid w:val="00103654"/>
    <w:rsid w:val="00114C83"/>
    <w:rsid w:val="00115EEB"/>
    <w:rsid w:val="0012424E"/>
    <w:rsid w:val="001535C7"/>
    <w:rsid w:val="00192381"/>
    <w:rsid w:val="0020751A"/>
    <w:rsid w:val="0021797A"/>
    <w:rsid w:val="00243317"/>
    <w:rsid w:val="002740E2"/>
    <w:rsid w:val="00287C45"/>
    <w:rsid w:val="003000A1"/>
    <w:rsid w:val="00307A97"/>
    <w:rsid w:val="00341DE8"/>
    <w:rsid w:val="00446731"/>
    <w:rsid w:val="004514F1"/>
    <w:rsid w:val="004615C8"/>
    <w:rsid w:val="00517C2A"/>
    <w:rsid w:val="00551886"/>
    <w:rsid w:val="00594401"/>
    <w:rsid w:val="005D1327"/>
    <w:rsid w:val="006865B7"/>
    <w:rsid w:val="006C20CC"/>
    <w:rsid w:val="00750778"/>
    <w:rsid w:val="007E0D05"/>
    <w:rsid w:val="00821A1F"/>
    <w:rsid w:val="008C7B12"/>
    <w:rsid w:val="00907B4F"/>
    <w:rsid w:val="009903F3"/>
    <w:rsid w:val="009D4356"/>
    <w:rsid w:val="00A110D6"/>
    <w:rsid w:val="00A573A5"/>
    <w:rsid w:val="00A61116"/>
    <w:rsid w:val="00A62023"/>
    <w:rsid w:val="00A718A8"/>
    <w:rsid w:val="00AA0A78"/>
    <w:rsid w:val="00B74598"/>
    <w:rsid w:val="00B764AE"/>
    <w:rsid w:val="00B76B60"/>
    <w:rsid w:val="00C07296"/>
    <w:rsid w:val="00C14719"/>
    <w:rsid w:val="00C524F9"/>
    <w:rsid w:val="00D03792"/>
    <w:rsid w:val="00D46A7C"/>
    <w:rsid w:val="00D4789B"/>
    <w:rsid w:val="00DB2E1C"/>
    <w:rsid w:val="00DB7C32"/>
    <w:rsid w:val="00E0690F"/>
    <w:rsid w:val="00E51F58"/>
    <w:rsid w:val="00E92BE1"/>
    <w:rsid w:val="00E93AEC"/>
    <w:rsid w:val="00E97334"/>
    <w:rsid w:val="00F33979"/>
    <w:rsid w:val="00FD69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271DC"/>
  <w15:chartTrackingRefBased/>
  <w15:docId w15:val="{C7D27AAA-326F-7741-9300-EB89246F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4719"/>
    <w:pPr>
      <w:outlineLvl w:val="0"/>
    </w:pPr>
    <w:rPr>
      <w:rFonts w:ascii="Calibri" w:hAnsi="Calibri" w:cs="Calibri"/>
      <w:b/>
      <w:bCs/>
      <w:color w:val="5D3B9F"/>
      <w:sz w:val="40"/>
      <w:szCs w:val="40"/>
    </w:rPr>
  </w:style>
  <w:style w:type="paragraph" w:styleId="Heading2">
    <w:name w:val="heading 2"/>
    <w:basedOn w:val="Normal"/>
    <w:next w:val="Normal"/>
    <w:link w:val="Heading2Char"/>
    <w:uiPriority w:val="9"/>
    <w:unhideWhenUsed/>
    <w:qFormat/>
    <w:rsid w:val="00C14719"/>
    <w:pPr>
      <w:outlineLvl w:val="1"/>
    </w:pPr>
    <w:rPr>
      <w:b/>
      <w:bCs/>
      <w:color w:val="5D3B9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Normal"/>
    <w:uiPriority w:val="99"/>
    <w:rsid w:val="005D1327"/>
    <w:tblPr/>
  </w:style>
  <w:style w:type="paragraph" w:customStyle="1" w:styleId="Acknowledgement">
    <w:name w:val="Acknowledgement"/>
    <w:qFormat/>
    <w:rsid w:val="00907B4F"/>
    <w:pPr>
      <w:spacing w:line="276" w:lineRule="auto"/>
    </w:pPr>
    <w:rPr>
      <w:color w:val="5D3B9F"/>
      <w:sz w:val="21"/>
      <w:szCs w:val="21"/>
    </w:rPr>
  </w:style>
  <w:style w:type="paragraph" w:styleId="Header">
    <w:name w:val="header"/>
    <w:basedOn w:val="Normal"/>
    <w:link w:val="HeaderChar"/>
    <w:uiPriority w:val="99"/>
    <w:unhideWhenUsed/>
    <w:rsid w:val="00551886"/>
    <w:pPr>
      <w:tabs>
        <w:tab w:val="center" w:pos="4513"/>
        <w:tab w:val="right" w:pos="9026"/>
      </w:tabs>
    </w:pPr>
  </w:style>
  <w:style w:type="character" w:customStyle="1" w:styleId="HeaderChar">
    <w:name w:val="Header Char"/>
    <w:basedOn w:val="DefaultParagraphFont"/>
    <w:link w:val="Header"/>
    <w:uiPriority w:val="99"/>
    <w:rsid w:val="00551886"/>
  </w:style>
  <w:style w:type="paragraph" w:styleId="Footer">
    <w:name w:val="footer"/>
    <w:basedOn w:val="Normal"/>
    <w:link w:val="FooterChar"/>
    <w:uiPriority w:val="99"/>
    <w:unhideWhenUsed/>
    <w:rsid w:val="00551886"/>
    <w:pPr>
      <w:tabs>
        <w:tab w:val="center" w:pos="4513"/>
        <w:tab w:val="right" w:pos="9026"/>
      </w:tabs>
    </w:pPr>
  </w:style>
  <w:style w:type="character" w:styleId="PageNumber">
    <w:name w:val="page number"/>
    <w:basedOn w:val="DefaultParagraphFont"/>
    <w:uiPriority w:val="99"/>
    <w:semiHidden/>
    <w:unhideWhenUsed/>
    <w:rsid w:val="0021797A"/>
  </w:style>
  <w:style w:type="character" w:customStyle="1" w:styleId="FooterChar">
    <w:name w:val="Footer Char"/>
    <w:basedOn w:val="DefaultParagraphFont"/>
    <w:link w:val="Footer"/>
    <w:uiPriority w:val="99"/>
    <w:rsid w:val="00551886"/>
  </w:style>
  <w:style w:type="numbering" w:customStyle="1" w:styleId="CurrentList1">
    <w:name w:val="Current List1"/>
    <w:uiPriority w:val="99"/>
    <w:rsid w:val="00287C45"/>
    <w:pPr>
      <w:numPr>
        <w:numId w:val="5"/>
      </w:numPr>
    </w:pPr>
  </w:style>
  <w:style w:type="numbering" w:customStyle="1" w:styleId="CurrentList2">
    <w:name w:val="Current List2"/>
    <w:uiPriority w:val="99"/>
    <w:rsid w:val="00287C45"/>
    <w:pPr>
      <w:numPr>
        <w:numId w:val="7"/>
      </w:numPr>
    </w:pPr>
  </w:style>
  <w:style w:type="character" w:styleId="Hyperlink">
    <w:name w:val="Hyperlink"/>
    <w:basedOn w:val="DefaultParagraphFont"/>
    <w:uiPriority w:val="99"/>
    <w:unhideWhenUsed/>
    <w:rsid w:val="00D4789B"/>
    <w:rPr>
      <w:color w:val="ED7D31" w:themeColor="accent2"/>
      <w:u w:val="single"/>
    </w:rPr>
  </w:style>
  <w:style w:type="character" w:styleId="UnresolvedMention">
    <w:name w:val="Unresolved Mention"/>
    <w:basedOn w:val="DefaultParagraphFont"/>
    <w:uiPriority w:val="99"/>
    <w:semiHidden/>
    <w:unhideWhenUsed/>
    <w:rsid w:val="00341DE8"/>
    <w:rPr>
      <w:color w:val="605E5C"/>
      <w:shd w:val="clear" w:color="auto" w:fill="E1DFDD"/>
    </w:rPr>
  </w:style>
  <w:style w:type="character" w:customStyle="1" w:styleId="Heading1Char">
    <w:name w:val="Heading 1 Char"/>
    <w:basedOn w:val="DefaultParagraphFont"/>
    <w:link w:val="Heading1"/>
    <w:uiPriority w:val="9"/>
    <w:rsid w:val="00C14719"/>
    <w:rPr>
      <w:rFonts w:ascii="Calibri" w:hAnsi="Calibri" w:cs="Calibri"/>
      <w:b/>
      <w:bCs/>
      <w:color w:val="5D3B9F"/>
      <w:sz w:val="40"/>
      <w:szCs w:val="40"/>
    </w:rPr>
  </w:style>
  <w:style w:type="paragraph" w:customStyle="1" w:styleId="IntroBullets">
    <w:name w:val="Intro Bullets"/>
    <w:qFormat/>
    <w:rsid w:val="00C14719"/>
    <w:pPr>
      <w:numPr>
        <w:numId w:val="2"/>
      </w:numPr>
    </w:pPr>
    <w:rPr>
      <w:b/>
      <w:bCs/>
    </w:rPr>
  </w:style>
  <w:style w:type="paragraph" w:customStyle="1" w:styleId="Body">
    <w:name w:val="Body"/>
    <w:basedOn w:val="Normal"/>
    <w:qFormat/>
    <w:rsid w:val="00C14719"/>
  </w:style>
  <w:style w:type="paragraph" w:customStyle="1" w:styleId="BulletsLv1">
    <w:name w:val="Bullets Lv. 1"/>
    <w:qFormat/>
    <w:rsid w:val="00C14719"/>
    <w:pPr>
      <w:numPr>
        <w:numId w:val="3"/>
      </w:numPr>
    </w:pPr>
  </w:style>
  <w:style w:type="paragraph" w:customStyle="1" w:styleId="BulletsLv2">
    <w:name w:val="Bullets Lv. 2"/>
    <w:basedOn w:val="BulletsLv1"/>
    <w:qFormat/>
    <w:rsid w:val="00C14719"/>
    <w:pPr>
      <w:numPr>
        <w:numId w:val="9"/>
      </w:numPr>
    </w:pPr>
    <w:rPr>
      <w:b/>
      <w:bCs/>
    </w:rPr>
  </w:style>
  <w:style w:type="character" w:customStyle="1" w:styleId="Heading2Char">
    <w:name w:val="Heading 2 Char"/>
    <w:basedOn w:val="DefaultParagraphFont"/>
    <w:link w:val="Heading2"/>
    <w:uiPriority w:val="9"/>
    <w:rsid w:val="00C14719"/>
    <w:rPr>
      <w:b/>
      <w:bCs/>
      <w:color w:val="5D3B9F"/>
      <w:sz w:val="28"/>
      <w:szCs w:val="28"/>
    </w:rPr>
  </w:style>
  <w:style w:type="paragraph" w:customStyle="1" w:styleId="HyperlinkOrange">
    <w:name w:val="Hyperlink Orange"/>
    <w:qFormat/>
    <w:rsid w:val="00A61116"/>
  </w:style>
  <w:style w:type="paragraph" w:styleId="NormalWeb">
    <w:name w:val="Normal (Web)"/>
    <w:basedOn w:val="Normal"/>
    <w:uiPriority w:val="99"/>
    <w:unhideWhenUsed/>
    <w:rsid w:val="004514F1"/>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451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ifs.gov.au/projects/elder-abuse-resear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apu.com.au/elder-abuse-helplin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05A2AADE1988498EA26CFF6AF4F1C2" ma:contentTypeVersion="16" ma:contentTypeDescription="Create a new document." ma:contentTypeScope="" ma:versionID="390e88ec4406a478218df4787de46cc9">
  <xsd:schema xmlns:xsd="http://www.w3.org/2001/XMLSchema" xmlns:xs="http://www.w3.org/2001/XMLSchema" xmlns:p="http://schemas.microsoft.com/office/2006/metadata/properties" xmlns:ns2="52673920-03b4-4823-8b92-eb7683ba69f0" xmlns:ns3="5fb64993-1551-4bd4-a4cf-fe53d9d4eadd" targetNamespace="http://schemas.microsoft.com/office/2006/metadata/properties" ma:root="true" ma:fieldsID="6994d351e0dd33992dcd1482abd2cdd8" ns2:_="" ns3:_="">
    <xsd:import namespace="52673920-03b4-4823-8b92-eb7683ba69f0"/>
    <xsd:import namespace="5fb64993-1551-4bd4-a4cf-fe53d9d4ea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73920-03b4-4823-8b92-eb7683ba69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a2049c-17a5-42ac-b53d-b48b3957c7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b64993-1551-4bd4-a4cf-fe53d9d4ea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8d1ac1e-bfd2-4aa5-ad4d-507ef3687984}" ma:internalName="TaxCatchAll" ma:showField="CatchAllData" ma:web="5fb64993-1551-4bd4-a4cf-fe53d9d4ea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14CC74-5488-3440-93E6-558309F86D76}">
  <ds:schemaRefs>
    <ds:schemaRef ds:uri="http://schemas.openxmlformats.org/officeDocument/2006/bibliography"/>
  </ds:schemaRefs>
</ds:datastoreItem>
</file>

<file path=customXml/itemProps2.xml><?xml version="1.0" encoding="utf-8"?>
<ds:datastoreItem xmlns:ds="http://schemas.openxmlformats.org/officeDocument/2006/customXml" ds:itemID="{20F54148-6D3B-4DF0-8A14-C2BC5E96FB8C}">
  <ds:schemaRefs>
    <ds:schemaRef ds:uri="http://schemas.microsoft.com/sharepoint/v3/contenttype/forms"/>
  </ds:schemaRefs>
</ds:datastoreItem>
</file>

<file path=customXml/itemProps3.xml><?xml version="1.0" encoding="utf-8"?>
<ds:datastoreItem xmlns:ds="http://schemas.openxmlformats.org/officeDocument/2006/customXml" ds:itemID="{8AFB36D8-0624-40ED-8368-3BA53472C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73920-03b4-4823-8b92-eb7683ba69f0"/>
    <ds:schemaRef ds:uri="5fb64993-1551-4bd4-a4cf-fe53d9d4e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Moody</dc:creator>
  <cp:keywords/>
  <dc:description/>
  <cp:lastModifiedBy>Jasmine Huang</cp:lastModifiedBy>
  <cp:revision>6</cp:revision>
  <dcterms:created xsi:type="dcterms:W3CDTF">2023-02-26T22:49:00Z</dcterms:created>
  <dcterms:modified xsi:type="dcterms:W3CDTF">2023-02-26T23:35:00Z</dcterms:modified>
</cp:coreProperties>
</file>